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273193" w:rsidRPr="001D0962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273193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273193" w:rsidRPr="009874DE" w:rsidTr="001D0962">
        <w:tc>
          <w:tcPr>
            <w:tcW w:w="9186" w:type="dxa"/>
            <w:vAlign w:val="center"/>
          </w:tcPr>
          <w:p w:rsidR="006D75D1" w:rsidRDefault="006D75D1" w:rsidP="006D75D1">
            <w:pPr>
              <w:jc w:val="center"/>
              <w:outlineLvl w:val="0"/>
              <w:rPr>
                <w:rFonts w:ascii="Calibri" w:hAnsi="Calibri" w:cs="Arial"/>
                <w:b/>
                <w:color w:val="002060"/>
                <w:sz w:val="32"/>
                <w:szCs w:val="32"/>
              </w:rPr>
            </w:pPr>
          </w:p>
          <w:p w:rsidR="006D75D1" w:rsidRPr="006D75D1" w:rsidRDefault="00321052" w:rsidP="006D75D1">
            <w:pPr>
              <w:jc w:val="center"/>
              <w:outlineLvl w:val="0"/>
              <w:rPr>
                <w:rFonts w:ascii="Calibri" w:hAnsi="Calibri" w:cs="Arial"/>
                <w:b/>
                <w:color w:val="002060"/>
                <w:sz w:val="32"/>
                <w:szCs w:val="32"/>
              </w:rPr>
            </w:pPr>
            <w:r w:rsidRPr="006D75D1">
              <w:rPr>
                <w:rFonts w:ascii="Calibri" w:hAnsi="Calibri" w:cs="Arial"/>
                <w:b/>
                <w:color w:val="002060"/>
                <w:sz w:val="32"/>
                <w:szCs w:val="32"/>
              </w:rPr>
              <w:t>OHLAŠOVACÍ POVINNOST K MÍSTNÍMU POPLATKU</w:t>
            </w:r>
          </w:p>
          <w:p w:rsidR="00273193" w:rsidRDefault="00D63900" w:rsidP="006D75D1">
            <w:pPr>
              <w:jc w:val="center"/>
              <w:outlineLvl w:val="0"/>
              <w:rPr>
                <w:rFonts w:ascii="Calibri" w:hAnsi="Calibri" w:cs="Arial"/>
                <w:b/>
                <w:color w:val="002060"/>
                <w:sz w:val="32"/>
                <w:szCs w:val="32"/>
              </w:rPr>
            </w:pPr>
            <w:r w:rsidRPr="006D75D1">
              <w:rPr>
                <w:rFonts w:ascii="Calibri" w:hAnsi="Calibri" w:cs="Arial"/>
                <w:b/>
                <w:color w:val="002060"/>
                <w:sz w:val="32"/>
                <w:szCs w:val="32"/>
              </w:rPr>
              <w:t xml:space="preserve">ZA </w:t>
            </w:r>
            <w:r w:rsidR="00CC743B" w:rsidRPr="006D75D1">
              <w:rPr>
                <w:rFonts w:ascii="Calibri" w:hAnsi="Calibri" w:cs="Arial"/>
                <w:b/>
                <w:color w:val="002060"/>
                <w:sz w:val="32"/>
                <w:szCs w:val="32"/>
              </w:rPr>
              <w:t>OBECNÍ SYSTÉM ODPADOVÉHO HOSPODÁŘSTVÍ</w:t>
            </w:r>
          </w:p>
          <w:p w:rsidR="006D75D1" w:rsidRPr="00E36EDD" w:rsidRDefault="006D75D1" w:rsidP="006D75D1">
            <w:pPr>
              <w:jc w:val="center"/>
              <w:outlineLvl w:val="0"/>
              <w:rPr>
                <w:rFonts w:ascii="Calibri" w:hAnsi="Calibri" w:cs="Arial"/>
                <w:b/>
                <w:color w:val="002060"/>
              </w:rPr>
            </w:pPr>
          </w:p>
        </w:tc>
      </w:tr>
      <w:tr w:rsidR="00273193" w:rsidRPr="00321052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1A2747" w:rsidRPr="00321052" w:rsidTr="001D0962">
        <w:tc>
          <w:tcPr>
            <w:tcW w:w="9186" w:type="dxa"/>
            <w:shd w:val="clear" w:color="auto" w:fill="D9D9D9"/>
            <w:vAlign w:val="center"/>
          </w:tcPr>
          <w:p w:rsidR="001A2747" w:rsidRPr="00E36EDD" w:rsidRDefault="001A2747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A2747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>Místní poplatek za obecní systém odpadového hospodářství</w:t>
            </w:r>
          </w:p>
        </w:tc>
      </w:tr>
      <w:tr w:rsidR="00273193" w:rsidRPr="00321052" w:rsidTr="001D0962">
        <w:tc>
          <w:tcPr>
            <w:tcW w:w="9186" w:type="dxa"/>
            <w:vAlign w:val="center"/>
          </w:tcPr>
          <w:p w:rsidR="00A9099D" w:rsidRDefault="00321052" w:rsidP="00A9099D">
            <w:pPr>
              <w:rPr>
                <w:rFonts w:ascii="Calibri" w:hAnsi="Calibri" w:cs="Arial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 xml:space="preserve">Poplatek je zaveden </w:t>
            </w:r>
            <w:r w:rsidR="00CC743B" w:rsidRPr="00E36EDD">
              <w:rPr>
                <w:rFonts w:ascii="Calibri" w:hAnsi="Calibri" w:cs="Arial"/>
                <w:sz w:val="22"/>
                <w:szCs w:val="22"/>
              </w:rPr>
              <w:t>O</w:t>
            </w:r>
            <w:r w:rsidRPr="00E36EDD">
              <w:rPr>
                <w:rFonts w:ascii="Calibri" w:hAnsi="Calibri" w:cs="Arial"/>
                <w:sz w:val="22"/>
                <w:szCs w:val="22"/>
              </w:rPr>
              <w:t xml:space="preserve">becně závaznou vyhláškou města </w:t>
            </w:r>
            <w:r w:rsidR="00CC743B" w:rsidRPr="00E36EDD">
              <w:rPr>
                <w:rFonts w:ascii="Calibri" w:hAnsi="Calibri" w:cs="Arial"/>
                <w:sz w:val="22"/>
                <w:szCs w:val="22"/>
              </w:rPr>
              <w:t>Toužim č. 4/2021</w:t>
            </w:r>
            <w:r w:rsidR="006474EB">
              <w:rPr>
                <w:rFonts w:ascii="Calibri" w:hAnsi="Calibri" w:cs="Arial"/>
                <w:sz w:val="22"/>
                <w:szCs w:val="22"/>
              </w:rPr>
              <w:t>,</w:t>
            </w:r>
            <w:r w:rsidRPr="00E36EDD">
              <w:rPr>
                <w:rFonts w:ascii="Calibri" w:hAnsi="Calibri" w:cs="Arial"/>
                <w:sz w:val="22"/>
                <w:szCs w:val="22"/>
              </w:rPr>
              <w:t xml:space="preserve"> o místním poplatku </w:t>
            </w:r>
            <w:r w:rsidR="00D63900" w:rsidRPr="00E36EDD">
              <w:rPr>
                <w:rFonts w:ascii="Calibri" w:hAnsi="Calibri" w:cs="Arial"/>
                <w:sz w:val="22"/>
                <w:szCs w:val="22"/>
              </w:rPr>
              <w:t xml:space="preserve">za </w:t>
            </w:r>
            <w:r w:rsidR="00CC743B" w:rsidRPr="00E36EDD">
              <w:rPr>
                <w:rFonts w:ascii="Calibri" w:hAnsi="Calibri" w:cs="Arial"/>
                <w:sz w:val="22"/>
                <w:szCs w:val="22"/>
              </w:rPr>
              <w:t>obecní systém odpadového hospodářství</w:t>
            </w:r>
            <w:r w:rsidR="00625E44" w:rsidRPr="00E36EDD">
              <w:rPr>
                <w:rFonts w:ascii="Calibri" w:hAnsi="Calibri" w:cs="Arial"/>
                <w:sz w:val="22"/>
                <w:szCs w:val="22"/>
              </w:rPr>
              <w:t>,</w:t>
            </w:r>
            <w:r w:rsidRPr="00E36EDD">
              <w:rPr>
                <w:rFonts w:ascii="Calibri" w:hAnsi="Calibri" w:cs="Arial"/>
                <w:sz w:val="22"/>
                <w:szCs w:val="22"/>
              </w:rPr>
              <w:t xml:space="preserve"> která je k dispozici v elektronické podobě na </w:t>
            </w:r>
            <w:r w:rsidR="00CC743B" w:rsidRPr="00E36EDD">
              <w:rPr>
                <w:rFonts w:ascii="Calibri" w:hAnsi="Calibri" w:cs="Arial"/>
                <w:sz w:val="22"/>
                <w:szCs w:val="22"/>
              </w:rPr>
              <w:t>stránkách města Toužim</w:t>
            </w:r>
            <w:r w:rsidR="00A909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8" w:history="1">
              <w:r w:rsidR="00A9099D" w:rsidRPr="00006382">
                <w:rPr>
                  <w:rStyle w:val="Hypertextovodkaz"/>
                  <w:rFonts w:ascii="Calibri" w:hAnsi="Calibri" w:cs="Arial"/>
                  <w:sz w:val="22"/>
                  <w:szCs w:val="22"/>
                </w:rPr>
                <w:t>https://www.touzim.cz/mestsky-urad-1/legislativa/?ftresult_menu=legislativa</w:t>
              </w:r>
            </w:hyperlink>
          </w:p>
          <w:p w:rsidR="00A9099D" w:rsidRPr="00E36EDD" w:rsidRDefault="00A9099D" w:rsidP="00A9099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73193" w:rsidRPr="00321052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2604F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73193" w:rsidRPr="00321052" w:rsidTr="001D0962">
        <w:tc>
          <w:tcPr>
            <w:tcW w:w="9186" w:type="dxa"/>
            <w:vAlign w:val="center"/>
          </w:tcPr>
          <w:p w:rsidR="00273193" w:rsidRPr="00E36EDD" w:rsidRDefault="00CC743B" w:rsidP="00D63900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>Poplatník (osoba přihlášená v obci, vlastník nemovitosti)</w:t>
            </w:r>
          </w:p>
        </w:tc>
      </w:tr>
      <w:tr w:rsidR="001A2747" w:rsidRPr="00321052" w:rsidTr="001D0962">
        <w:tc>
          <w:tcPr>
            <w:tcW w:w="9186" w:type="dxa"/>
            <w:vAlign w:val="center"/>
          </w:tcPr>
          <w:p w:rsidR="001A2747" w:rsidRPr="00E36EDD" w:rsidRDefault="001A2747" w:rsidP="00D6390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Sazba poplatku činí 800,- Kč</w:t>
            </w:r>
          </w:p>
        </w:tc>
      </w:tr>
      <w:tr w:rsidR="00273193" w:rsidRPr="00321052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2604F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73193" w:rsidRPr="00321052" w:rsidTr="001D0962">
        <w:tc>
          <w:tcPr>
            <w:tcW w:w="9186" w:type="dxa"/>
            <w:vAlign w:val="center"/>
          </w:tcPr>
          <w:p w:rsidR="00CC743B" w:rsidRPr="00E36EDD" w:rsidRDefault="00261F32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 xml:space="preserve">Tento poplatek platí </w:t>
            </w:r>
            <w:r w:rsidR="00CC743B" w:rsidRPr="00E36EDD">
              <w:rPr>
                <w:rFonts w:ascii="Calibri" w:hAnsi="Calibri" w:cs="Arial"/>
                <w:sz w:val="22"/>
                <w:szCs w:val="22"/>
              </w:rPr>
              <w:t>fyzické osoby:</w:t>
            </w:r>
          </w:p>
          <w:p w:rsidR="00CC743B" w:rsidRPr="00E36EDD" w:rsidRDefault="00CC743B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 xml:space="preserve">a) přihlášené v obci nebo </w:t>
            </w:r>
          </w:p>
          <w:p w:rsidR="00CC743B" w:rsidRPr="00E36EDD" w:rsidRDefault="00CC743B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 xml:space="preserve">b) vlastník nemovité věci zahrnující byt, rodinný dům nebo stavbu pro rodinnou rekreaci, ve které není přihlášená žádná fyzická osoba a která je umístěna na území obce. </w:t>
            </w:r>
          </w:p>
          <w:p w:rsidR="00974A54" w:rsidRPr="00E36EDD" w:rsidRDefault="00CC743B" w:rsidP="002107AD">
            <w:pPr>
              <w:jc w:val="both"/>
              <w:rPr>
                <w:rFonts w:ascii="Calibri" w:hAnsi="Calibri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Správcem poplatku je Městský úřad Toužim.</w:t>
            </w:r>
            <w:r w:rsidRPr="00E36EDD">
              <w:rPr>
                <w:rFonts w:ascii="Calibri" w:hAnsi="Calibri"/>
              </w:rPr>
              <w:t xml:space="preserve"> </w:t>
            </w:r>
          </w:p>
        </w:tc>
      </w:tr>
      <w:tr w:rsidR="00273193" w:rsidRPr="00321052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>Jakým způsobem zahájit řešení životní situace</w:t>
            </w:r>
            <w:r w:rsidR="001A2747"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 xml:space="preserve"> - ohlášení</w:t>
            </w:r>
            <w:r w:rsidR="001D4C1C"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 xml:space="preserve"> místního </w:t>
            </w:r>
            <w:r w:rsidR="001A2747"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>poplatku</w:t>
            </w:r>
            <w:r w:rsidR="001D4C1C"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t xml:space="preserve"> za obecní systém OH</w:t>
            </w:r>
          </w:p>
        </w:tc>
      </w:tr>
      <w:tr w:rsidR="00321052" w:rsidRPr="00E36EDD" w:rsidTr="00D00396">
        <w:tc>
          <w:tcPr>
            <w:tcW w:w="9186" w:type="dxa"/>
          </w:tcPr>
          <w:p w:rsidR="009F26F5" w:rsidRPr="00E36EDD" w:rsidRDefault="00E10E6D" w:rsidP="009F26F5">
            <w:pPr>
              <w:rPr>
                <w:rFonts w:ascii="Calibri" w:hAnsi="Calibri" w:cs="Arial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Poplatník je povinen podat správci poplatku ohlášení nejpozději do 60 dnů ode dne vzniku své poplatkové povinnosti.</w:t>
            </w:r>
            <w:r w:rsidRPr="00E36E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474EB">
              <w:rPr>
                <w:rFonts w:ascii="Calibri" w:hAnsi="Calibri" w:cs="Arial"/>
                <w:noProof/>
                <w:sz w:val="22"/>
                <w:szCs w:val="22"/>
              </w:rPr>
              <w:t>V ohlášení poplatník</w:t>
            </w:r>
            <w:r w:rsidR="009F26F5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uvede:</w:t>
            </w:r>
          </w:p>
          <w:p w:rsidR="00E10E6D" w:rsidRPr="00E36EDD" w:rsidRDefault="00E10E6D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 xml:space="preserve"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 </w:t>
            </w:r>
          </w:p>
          <w:p w:rsidR="00E10E6D" w:rsidRPr="00E36EDD" w:rsidRDefault="00E10E6D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poplatníka,</w:t>
            </w:r>
          </w:p>
          <w:p w:rsidR="00E10E6D" w:rsidRPr="00E36EDD" w:rsidRDefault="00E10E6D" w:rsidP="0026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c) 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      </w:r>
          </w:p>
          <w:p w:rsidR="00E10E6D" w:rsidRPr="00E36EDD" w:rsidRDefault="00E10E6D" w:rsidP="009F26F5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      </w:r>
          </w:p>
          <w:p w:rsidR="00E10E6D" w:rsidRPr="00E36EDD" w:rsidRDefault="00E10E6D" w:rsidP="009F26F5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 xml:space="preserve">Dojde-li ke změně údajů uvedených v ohlášení, je poplatník povinen tuto změnu oznámit do 15 dnů ode dne, kdy nastala. </w:t>
            </w:r>
          </w:p>
          <w:p w:rsidR="00A2540F" w:rsidRDefault="00E10E6D" w:rsidP="009F26F5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Povinnost ohlásit údaj podle odstavce 2 nebo jeho změnu se nevztahuje na údaj, který může správce poplatku automatizovaným způsobem zjistit z rejstříků nebo evidencí, do nichž má</w:t>
            </w:r>
            <w:r w:rsidR="006474EB">
              <w:rPr>
                <w:rFonts w:ascii="Calibri" w:hAnsi="Calibri"/>
                <w:sz w:val="22"/>
                <w:szCs w:val="22"/>
              </w:rPr>
              <w:t xml:space="preserve"> zřízen automatizovaný přístup.</w:t>
            </w:r>
          </w:p>
          <w:p w:rsidR="006D75D1" w:rsidRPr="00E36EDD" w:rsidRDefault="006D75D1" w:rsidP="009F26F5">
            <w:pPr>
              <w:rPr>
                <w:rFonts w:ascii="Calibri" w:hAnsi="Calibri" w:cs="Arial"/>
                <w:noProof/>
                <w:sz w:val="22"/>
                <w:szCs w:val="22"/>
              </w:rPr>
            </w:pPr>
          </w:p>
          <w:p w:rsidR="006D75D1" w:rsidRPr="00E36EDD" w:rsidRDefault="00216CCE" w:rsidP="006D75D1">
            <w:pPr>
              <w:jc w:val="both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  <w:r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Ohlášení lze činit </w:t>
            </w:r>
            <w:r w:rsidR="00E10E6D"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pouze </w:t>
            </w:r>
            <w:r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>písemně</w:t>
            </w:r>
            <w:r w:rsidR="000D0D36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na předepsaný formulář</w:t>
            </w:r>
            <w:r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, </w:t>
            </w:r>
            <w:r w:rsidR="000D0D36">
              <w:rPr>
                <w:rFonts w:ascii="Calibri" w:hAnsi="Calibri" w:cs="Arial"/>
                <w:b/>
                <w:noProof/>
                <w:sz w:val="22"/>
                <w:szCs w:val="22"/>
              </w:rPr>
              <w:t>který je možný</w:t>
            </w:r>
            <w:r w:rsidR="00E10E6D"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odevzdat na podatelně MěÚ Toužim, zaslat poštou</w:t>
            </w:r>
            <w:r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nebo datovou zprávou, která je opatřena uznávaným el</w:t>
            </w:r>
            <w:r w:rsidR="00E10E6D"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>ektronickým podpisem a</w:t>
            </w:r>
            <w:r w:rsidRPr="00E36EDD">
              <w:rPr>
                <w:rFonts w:ascii="Calibri" w:hAnsi="Calibri" w:cs="Arial"/>
                <w:b/>
                <w:noProof/>
                <w:sz w:val="22"/>
                <w:szCs w:val="22"/>
              </w:rPr>
              <w:t xml:space="preserve"> je odeslána prostřednictvím datové schránky.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Na které instituci životní situaci řešit</w:t>
            </w:r>
          </w:p>
        </w:tc>
      </w:tr>
      <w:tr w:rsidR="00273193" w:rsidRPr="00E36EDD" w:rsidTr="001D0962">
        <w:tc>
          <w:tcPr>
            <w:tcW w:w="9186" w:type="dxa"/>
            <w:vAlign w:val="center"/>
          </w:tcPr>
          <w:p w:rsidR="00273193" w:rsidRPr="00E36EDD" w:rsidRDefault="00E10E6D" w:rsidP="00FF16DC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>Městský úřad Toužim</w:t>
            </w:r>
            <w:r w:rsidR="001A03FE" w:rsidRPr="00E36E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321052" w:rsidRPr="00E36EDD" w:rsidTr="00D00396">
        <w:tc>
          <w:tcPr>
            <w:tcW w:w="9186" w:type="dxa"/>
          </w:tcPr>
          <w:p w:rsidR="00321052" w:rsidRPr="00E36EDD" w:rsidRDefault="00321052" w:rsidP="002157C6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V budově </w:t>
            </w:r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>Městského úřadu v Toužimi, Sídliště 428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, </w:t>
            </w:r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>oddělení životního prostředí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, </w:t>
            </w:r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>II. patro</w:t>
            </w:r>
            <w:r w:rsidR="00974A54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. 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3D1DC9" w:rsidRPr="00E36EDD">
              <w:rPr>
                <w:rFonts w:ascii="Calibri" w:hAnsi="Calibri" w:cs="Arial"/>
                <w:noProof/>
                <w:sz w:val="22"/>
                <w:szCs w:val="22"/>
              </w:rPr>
              <w:br/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>tel. 35</w:t>
            </w:r>
            <w:r w:rsidR="002157C6">
              <w:rPr>
                <w:rFonts w:ascii="Calibri" w:hAnsi="Calibri" w:cs="Arial"/>
                <w:noProof/>
                <w:sz w:val="22"/>
                <w:szCs w:val="22"/>
              </w:rPr>
              <w:t>4</w:t>
            </w:r>
            <w:bookmarkStart w:id="0" w:name="_GoBack"/>
            <w:bookmarkEnd w:id="0"/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> 224 513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321052" w:rsidRPr="00E36EDD" w:rsidTr="00D00396">
        <w:tc>
          <w:tcPr>
            <w:tcW w:w="9186" w:type="dxa"/>
          </w:tcPr>
          <w:p w:rsidR="00321052" w:rsidRPr="00E36EDD" w:rsidRDefault="00321052" w:rsidP="00E10E6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>P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růkaz totožnosti, doklad prokazující oprávnění jednat jménem </w:t>
            </w:r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>poplatníka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(plná moc).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321052" w:rsidRPr="00E36EDD" w:rsidTr="00D00396">
        <w:tc>
          <w:tcPr>
            <w:tcW w:w="9186" w:type="dxa"/>
          </w:tcPr>
          <w:p w:rsidR="00616A42" w:rsidRPr="008E5542" w:rsidRDefault="00E10E6D" w:rsidP="00E10E6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5542">
              <w:rPr>
                <w:rFonts w:ascii="Calibri" w:hAnsi="Calibri" w:cs="Arial"/>
                <w:b/>
                <w:sz w:val="22"/>
                <w:szCs w:val="22"/>
              </w:rPr>
              <w:t xml:space="preserve">K dispozici jsou tyto </w:t>
            </w:r>
            <w:r w:rsidR="005F0359" w:rsidRPr="008E5542">
              <w:rPr>
                <w:rFonts w:ascii="Calibri" w:hAnsi="Calibri" w:cs="Arial"/>
                <w:b/>
                <w:sz w:val="22"/>
                <w:szCs w:val="22"/>
              </w:rPr>
              <w:t xml:space="preserve">tiskopisy formulářů: </w:t>
            </w:r>
          </w:p>
          <w:p w:rsidR="00616A42" w:rsidRPr="00E36EDD" w:rsidRDefault="0050599C" w:rsidP="00E10E6D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Ohlašovací povinnost k místnímu poplatku za </w:t>
            </w:r>
            <w:r w:rsidR="00E10E6D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obecní systém </w:t>
            </w:r>
            <w:r w:rsidR="00616A42" w:rsidRPr="00E36EDD">
              <w:rPr>
                <w:rFonts w:ascii="Calibri" w:hAnsi="Calibri" w:cs="Arial"/>
                <w:noProof/>
                <w:sz w:val="22"/>
                <w:szCs w:val="22"/>
              </w:rPr>
              <w:t>OH</w:t>
            </w:r>
            <w:r w:rsidR="005F0359" w:rsidRPr="00E36EDD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616A42" w:rsidRPr="008E5542" w:rsidRDefault="00616A42" w:rsidP="008E5542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5542">
              <w:rPr>
                <w:rFonts w:ascii="Calibri" w:hAnsi="Calibri" w:cs="Arial"/>
                <w:b/>
                <w:bCs/>
                <w:sz w:val="22"/>
                <w:szCs w:val="22"/>
              </w:rPr>
              <w:t>Poplatek fyz</w:t>
            </w:r>
            <w:r w:rsidR="000D0D36">
              <w:rPr>
                <w:rFonts w:ascii="Calibri" w:hAnsi="Calibri" w:cs="Arial"/>
                <w:b/>
                <w:bCs/>
                <w:sz w:val="22"/>
                <w:szCs w:val="22"/>
              </w:rPr>
              <w:t>ických osob s trvalým pobytem na</w:t>
            </w:r>
            <w:r w:rsidRPr="008E554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území města</w:t>
            </w:r>
          </w:p>
          <w:p w:rsidR="00616A42" w:rsidRPr="008E5542" w:rsidRDefault="00616A42" w:rsidP="00616A42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E5542">
              <w:rPr>
                <w:rFonts w:ascii="Calibri" w:hAnsi="Calibri" w:cs="Arial"/>
                <w:b/>
                <w:bCs/>
                <w:sz w:val="22"/>
                <w:szCs w:val="22"/>
              </w:rPr>
              <w:t>Poplatek FO a PO - vlastníků nemovitých věcí zahrnujících byt, rodinný dům nebo stavbu pro rodinnou rekreaci, ve kterých není přihlášena žádná FO a která je umístěna na území města Toužim</w:t>
            </w:r>
          </w:p>
          <w:p w:rsidR="00321052" w:rsidRPr="00E36EDD" w:rsidRDefault="0050599C" w:rsidP="00616A42">
            <w:pPr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E5542">
              <w:rPr>
                <w:rFonts w:ascii="Calibri" w:hAnsi="Calibri" w:cs="Arial"/>
                <w:b/>
                <w:bCs/>
                <w:sz w:val="22"/>
                <w:szCs w:val="22"/>
              </w:rPr>
              <w:t>Plná moc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616A4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Jaké jsou lhůty </w:t>
            </w:r>
          </w:p>
        </w:tc>
      </w:tr>
      <w:tr w:rsidR="00321052" w:rsidRPr="00E36EDD" w:rsidTr="00D00396">
        <w:tc>
          <w:tcPr>
            <w:tcW w:w="9186" w:type="dxa"/>
          </w:tcPr>
          <w:p w:rsidR="00616A42" w:rsidRPr="00E36EDD" w:rsidRDefault="00616A42" w:rsidP="00625E4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Poplatník je povinen podat správci poplatku ohlášení nejpozději do 60 dnů ode dne vzniku své poplatkové povinnosti.</w:t>
            </w:r>
          </w:p>
          <w:p w:rsidR="00321052" w:rsidRPr="00E36EDD" w:rsidRDefault="00616A42" w:rsidP="00625E4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36EDD">
              <w:rPr>
                <w:rFonts w:ascii="Calibri" w:hAnsi="Calibri"/>
                <w:sz w:val="22"/>
                <w:szCs w:val="22"/>
              </w:rPr>
              <w:t>Dojde-li ke změně údajů uvedených v ohlášení, je poplatník povinen tuto změnu oznámit do 15 dnů ode dne, kdy nastala.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321052" w:rsidRPr="00E36EDD" w:rsidTr="00D00396">
        <w:tc>
          <w:tcPr>
            <w:tcW w:w="9186" w:type="dxa"/>
          </w:tcPr>
          <w:p w:rsidR="00EB7D8D" w:rsidRPr="00E36EDD" w:rsidRDefault="00EB7D8D" w:rsidP="00EB7D8D">
            <w:pPr>
              <w:rPr>
                <w:rFonts w:ascii="Calibri" w:hAnsi="Calibri" w:cs="Arial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>V případě ohlášení datovou zprávou na elektronickou adresu</w:t>
            </w:r>
            <w:r w:rsidR="00616A42" w:rsidRPr="00E36ED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36EDD">
              <w:rPr>
                <w:rFonts w:ascii="Calibri" w:hAnsi="Calibri" w:cs="Arial"/>
                <w:sz w:val="22"/>
                <w:szCs w:val="22"/>
              </w:rPr>
              <w:t xml:space="preserve">musí být tato datová zpráva opatřena uznávaným elektronickým podpisem. </w:t>
            </w:r>
          </w:p>
          <w:p w:rsidR="00321052" w:rsidRPr="00E36EDD" w:rsidRDefault="00EB7D8D" w:rsidP="00EB7D8D">
            <w:pPr>
              <w:rPr>
                <w:rFonts w:ascii="Calibri" w:hAnsi="Calibri" w:cs="Arial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 xml:space="preserve">Nebo lze ohlášení odeslat prostřednictvím datové schránky ID: </w:t>
            </w:r>
            <w:r w:rsidR="00616A42" w:rsidRPr="00E36EDD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616A42" w:rsidRPr="006D75D1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ji6b68s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321052" w:rsidRPr="00E36EDD" w:rsidTr="00D00396">
        <w:tc>
          <w:tcPr>
            <w:tcW w:w="9186" w:type="dxa"/>
          </w:tcPr>
          <w:p w:rsidR="00321052" w:rsidRPr="00E36EDD" w:rsidRDefault="00321052" w:rsidP="00321052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>Zákon č. 565/1990 Sb., o místních poplatcích, ve znění pozdějších předpisů</w:t>
            </w:r>
          </w:p>
          <w:p w:rsidR="00321052" w:rsidRPr="00E36EDD" w:rsidRDefault="00321052" w:rsidP="00321052">
            <w:pPr>
              <w:rPr>
                <w:rFonts w:ascii="Calibri" w:hAnsi="Calibri" w:cs="Arial"/>
                <w:noProof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Zákon č. </w:t>
            </w:r>
            <w:r w:rsidR="00564110" w:rsidRPr="00E36EDD">
              <w:rPr>
                <w:rFonts w:ascii="Calibri" w:hAnsi="Calibri" w:cs="Arial"/>
                <w:noProof/>
                <w:sz w:val="22"/>
                <w:szCs w:val="22"/>
              </w:rPr>
              <w:t>280/2009</w:t>
            </w: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Sb., </w:t>
            </w:r>
            <w:r w:rsidR="00564110" w:rsidRPr="00E36EDD">
              <w:rPr>
                <w:rFonts w:ascii="Calibri" w:hAnsi="Calibri" w:cs="Arial"/>
                <w:noProof/>
                <w:sz w:val="22"/>
                <w:szCs w:val="22"/>
              </w:rPr>
              <w:t>daňový řád</w:t>
            </w:r>
            <w:r w:rsidR="00E20120" w:rsidRPr="00E36EDD">
              <w:rPr>
                <w:rFonts w:ascii="Calibri" w:hAnsi="Calibri" w:cs="Arial"/>
                <w:noProof/>
                <w:sz w:val="22"/>
                <w:szCs w:val="22"/>
              </w:rPr>
              <w:t>, ve znění pozdějších předpisů</w:t>
            </w:r>
          </w:p>
          <w:p w:rsidR="00321052" w:rsidRPr="00E36EDD" w:rsidRDefault="00DC4BA3" w:rsidP="00616A42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>OZV</w:t>
            </w:r>
            <w:r w:rsidR="00321052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města </w:t>
            </w:r>
            <w:r w:rsidR="00616A42" w:rsidRPr="00E36EDD">
              <w:rPr>
                <w:rFonts w:ascii="Calibri" w:hAnsi="Calibri" w:cs="Arial"/>
                <w:noProof/>
                <w:sz w:val="22"/>
                <w:szCs w:val="22"/>
              </w:rPr>
              <w:t>Toužim č. 4/2021,</w:t>
            </w:r>
            <w:r w:rsidR="00321052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 o místním poplatku </w:t>
            </w:r>
            <w:r w:rsidR="0050599C" w:rsidRPr="00E36EDD">
              <w:rPr>
                <w:rFonts w:ascii="Calibri" w:hAnsi="Calibri" w:cs="Arial"/>
                <w:noProof/>
                <w:sz w:val="22"/>
                <w:szCs w:val="22"/>
              </w:rPr>
              <w:t xml:space="preserve">za </w:t>
            </w:r>
            <w:r w:rsidR="00616A42" w:rsidRPr="00E36EDD">
              <w:rPr>
                <w:rFonts w:ascii="Calibri" w:hAnsi="Calibri" w:cs="Arial"/>
                <w:noProof/>
                <w:sz w:val="22"/>
                <w:szCs w:val="22"/>
              </w:rPr>
              <w:t>obecní systém odpadového hospodářství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321052" w:rsidRPr="00E36EDD" w:rsidTr="00D00396">
        <w:tc>
          <w:tcPr>
            <w:tcW w:w="9186" w:type="dxa"/>
          </w:tcPr>
          <w:p w:rsidR="00321052" w:rsidRPr="00E36EDD" w:rsidRDefault="00321052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 w:cs="Arial"/>
                <w:sz w:val="22"/>
                <w:szCs w:val="22"/>
              </w:rPr>
              <w:t>Opravné prostředky proti ohlašovací povinnosti nelze uplatnit.</w:t>
            </w:r>
          </w:p>
        </w:tc>
      </w:tr>
      <w:tr w:rsidR="00273193" w:rsidRPr="00E36EDD" w:rsidTr="001D0962">
        <w:tc>
          <w:tcPr>
            <w:tcW w:w="9186" w:type="dxa"/>
            <w:shd w:val="clear" w:color="auto" w:fill="D9D9D9"/>
            <w:vAlign w:val="center"/>
          </w:tcPr>
          <w:p w:rsidR="00273193" w:rsidRPr="00E36EDD" w:rsidRDefault="00273193" w:rsidP="001D096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321052" w:rsidRPr="00E36EDD" w:rsidTr="00D00396">
        <w:tc>
          <w:tcPr>
            <w:tcW w:w="9186" w:type="dxa"/>
          </w:tcPr>
          <w:p w:rsidR="00321052" w:rsidRPr="006D3F09" w:rsidRDefault="0069078C" w:rsidP="009B3A6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D3F09">
              <w:rPr>
                <w:rFonts w:ascii="Calibri" w:hAnsi="Calibri" w:cs="Arial"/>
                <w:sz w:val="22"/>
                <w:szCs w:val="22"/>
              </w:rPr>
              <w:t>Tomu, kdo závažně ztěžuje nebo maří správu poplatku tím, že bez dostatečné omluvy nevyhoví ve stanovené lhůtě výzvě ke splnění ohlašovací povinnosti, může správce poplatku uložit pořádkovou pokutu do 50</w:t>
            </w:r>
            <w:r w:rsidR="001E0141" w:rsidRPr="006D3F09">
              <w:rPr>
                <w:rFonts w:ascii="Calibri" w:hAnsi="Calibri" w:cs="Arial"/>
                <w:sz w:val="22"/>
                <w:szCs w:val="22"/>
              </w:rPr>
              <w:t>0</w:t>
            </w:r>
            <w:r w:rsidRPr="006D3F09">
              <w:rPr>
                <w:rFonts w:ascii="Calibri" w:hAnsi="Calibri" w:cs="Arial"/>
                <w:sz w:val="22"/>
                <w:szCs w:val="22"/>
              </w:rPr>
              <w:t xml:space="preserve"> tis. Kč.</w:t>
            </w:r>
            <w:r w:rsidR="001B7E25" w:rsidRPr="006D3F09">
              <w:rPr>
                <w:rFonts w:ascii="Calibri" w:hAnsi="Calibri" w:cs="Arial"/>
                <w:sz w:val="22"/>
                <w:szCs w:val="22"/>
              </w:rPr>
              <w:t xml:space="preserve"> (§ 247 a § 247a zákona č. 280/2009 Sb., daňový řád)</w:t>
            </w:r>
            <w:r w:rsidR="006D75D1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9B3A6C" w:rsidRPr="006D3F09" w:rsidRDefault="00280DAA" w:rsidP="00280DAA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D3F09">
              <w:rPr>
                <w:rFonts w:ascii="Calibri" w:hAnsi="Calibri" w:cs="Arial"/>
                <w:color w:val="000000"/>
                <w:sz w:val="22"/>
                <w:szCs w:val="22"/>
              </w:rPr>
              <w:t>Včas nezaplacené poplatky nebo část těchto poplatků může správce poplatku zvýšit až na trojnásobek; toto zvýšení je příslušenstvím poplatku sledujícím jeho osud</w:t>
            </w:r>
            <w:r w:rsidR="006D75D1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1A2747" w:rsidRDefault="001A2747" w:rsidP="007C5ABD">
      <w:pPr>
        <w:rPr>
          <w:rFonts w:ascii="Calibri" w:hAnsi="Calibri"/>
        </w:rPr>
      </w:pPr>
    </w:p>
    <w:p w:rsidR="006D75D1" w:rsidRDefault="006D75D1" w:rsidP="007C5ABD">
      <w:pPr>
        <w:rPr>
          <w:rFonts w:ascii="Calibri" w:hAnsi="Calibri"/>
        </w:rPr>
      </w:pPr>
    </w:p>
    <w:p w:rsidR="006D75D1" w:rsidRDefault="006D75D1" w:rsidP="007C5ABD">
      <w:pPr>
        <w:rPr>
          <w:rFonts w:ascii="Calibri" w:hAnsi="Calibri"/>
        </w:rPr>
      </w:pPr>
    </w:p>
    <w:p w:rsidR="006D75D1" w:rsidRDefault="006D75D1" w:rsidP="007C5ABD">
      <w:pPr>
        <w:rPr>
          <w:rFonts w:ascii="Calibri" w:hAnsi="Calibri"/>
        </w:rPr>
      </w:pPr>
    </w:p>
    <w:p w:rsidR="006D75D1" w:rsidRDefault="006D75D1" w:rsidP="007C5ABD">
      <w:pPr>
        <w:rPr>
          <w:rFonts w:ascii="Calibri" w:hAnsi="Calibri"/>
        </w:rPr>
      </w:pPr>
    </w:p>
    <w:p w:rsidR="006D75D1" w:rsidRDefault="006D75D1" w:rsidP="007C5AB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6"/>
      </w:tblGrid>
      <w:tr w:rsidR="0007303B" w:rsidRPr="00E36EDD" w:rsidTr="006D3F09">
        <w:tc>
          <w:tcPr>
            <w:tcW w:w="9186" w:type="dxa"/>
            <w:shd w:val="clear" w:color="auto" w:fill="FFFFFF"/>
          </w:tcPr>
          <w:p w:rsidR="0007303B" w:rsidRPr="006D3F09" w:rsidRDefault="0007303B" w:rsidP="006D3F09">
            <w:pPr>
              <w:jc w:val="both"/>
              <w:rPr>
                <w:rFonts w:ascii="Calibri" w:hAnsi="Calibri" w:cs="Arial"/>
                <w:b/>
                <w:color w:val="1F4E79"/>
                <w:sz w:val="22"/>
                <w:szCs w:val="22"/>
              </w:rPr>
            </w:pPr>
            <w:r w:rsidRPr="006D3F09">
              <w:rPr>
                <w:rFonts w:ascii="Calibri" w:hAnsi="Calibri" w:cs="Arial"/>
                <w:b/>
                <w:color w:val="1F4E79"/>
                <w:sz w:val="22"/>
                <w:szCs w:val="22"/>
              </w:rPr>
              <w:lastRenderedPageBreak/>
              <w:t>Místní poplatek za obecní systém odpadového hospodářství</w:t>
            </w:r>
          </w:p>
        </w:tc>
      </w:tr>
      <w:tr w:rsidR="0007303B" w:rsidRPr="00E36EDD" w:rsidTr="0007303B">
        <w:tc>
          <w:tcPr>
            <w:tcW w:w="9186" w:type="dxa"/>
            <w:shd w:val="clear" w:color="auto" w:fill="D9D9D9"/>
          </w:tcPr>
          <w:p w:rsidR="0007303B" w:rsidRPr="00E36EDD" w:rsidRDefault="0007303B" w:rsidP="006D3F0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Osvobození od poplatku</w:t>
            </w:r>
          </w:p>
        </w:tc>
      </w:tr>
      <w:tr w:rsidR="0007303B" w:rsidRPr="0007303B" w:rsidTr="006D3F09">
        <w:tc>
          <w:tcPr>
            <w:tcW w:w="9186" w:type="dxa"/>
          </w:tcPr>
          <w:p w:rsidR="0007303B" w:rsidRPr="0007303B" w:rsidRDefault="0007303B" w:rsidP="006D3F09">
            <w:pPr>
              <w:pStyle w:val="Textkomente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7303B">
              <w:rPr>
                <w:rFonts w:ascii="Calibri" w:hAnsi="Calibri"/>
                <w:sz w:val="22"/>
                <w:szCs w:val="22"/>
              </w:rPr>
              <w:t>1) Od poplatku je osvobozena osoba, které poplatková povinnost vznikla z důvodu přihlášení v obci a která je:</w:t>
            </w:r>
          </w:p>
          <w:p w:rsidR="0007303B" w:rsidRPr="0007303B" w:rsidRDefault="0007303B" w:rsidP="006D3F0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7303B">
              <w:rPr>
                <w:rFonts w:ascii="Calibri" w:hAnsi="Calibri"/>
                <w:sz w:val="22"/>
                <w:szCs w:val="22"/>
              </w:rPr>
              <w:t xml:space="preserve">a) poplatníkem poplatku za odkládání komunálního odpadu z nemovité věci v jiné obci a má v této jiné obci bydliště, </w:t>
            </w:r>
          </w:p>
          <w:p w:rsidR="0007303B" w:rsidRPr="0007303B" w:rsidRDefault="0007303B" w:rsidP="006D3F09">
            <w:pPr>
              <w:pStyle w:val="Default"/>
              <w:spacing w:after="53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7303B">
              <w:rPr>
                <w:rFonts w:ascii="Calibri" w:hAnsi="Calibri"/>
                <w:color w:val="auto"/>
                <w:sz w:val="22"/>
                <w:szCs w:val="22"/>
              </w:rPr>
      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      </w:r>
          </w:p>
          <w:p w:rsidR="0007303B" w:rsidRPr="0007303B" w:rsidRDefault="0007303B" w:rsidP="006D3F09">
            <w:pPr>
              <w:pStyle w:val="Default"/>
              <w:spacing w:after="53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7303B">
              <w:rPr>
                <w:rFonts w:ascii="Calibri" w:hAnsi="Calibri"/>
                <w:color w:val="auto"/>
                <w:sz w:val="22"/>
                <w:szCs w:val="22"/>
              </w:rPr>
              <w:t xml:space="preserve">c) umístěna do zařízení pro děti vyžadující okamžitou pomoc na základě rozhodnutí soudu, na žádost obecního úřadu obce s rozšířenou působností, zákonného zástupce dítěte nebo nezletilého, </w:t>
            </w:r>
          </w:p>
          <w:p w:rsidR="0007303B" w:rsidRPr="0007303B" w:rsidRDefault="0007303B" w:rsidP="006D3F09">
            <w:pPr>
              <w:pStyle w:val="Default"/>
              <w:spacing w:after="53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7303B">
              <w:rPr>
                <w:rFonts w:ascii="Calibri" w:hAnsi="Calibri"/>
                <w:color w:val="auto"/>
                <w:sz w:val="22"/>
                <w:szCs w:val="22"/>
              </w:rPr>
              <w:t xml:space="preserve">d) umístěna v domově pro osoby se zdravotním postižením, domově pro seniory, domově se zvláštním režimem nebo v chráněném bydlení, nebo </w:t>
            </w:r>
          </w:p>
          <w:p w:rsidR="0007303B" w:rsidRPr="0007303B" w:rsidRDefault="0007303B" w:rsidP="006D3F09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7303B">
              <w:rPr>
                <w:rFonts w:ascii="Calibri" w:hAnsi="Calibri"/>
                <w:color w:val="auto"/>
                <w:sz w:val="22"/>
                <w:szCs w:val="22"/>
              </w:rPr>
              <w:t>e) na základě zákona omezena na osobní svobodě s výjimkou osoby vykonávající trest dom. vězení.</w:t>
            </w:r>
          </w:p>
          <w:p w:rsidR="0007303B" w:rsidRPr="0007303B" w:rsidRDefault="0007303B" w:rsidP="006D3F09">
            <w:pPr>
              <w:rPr>
                <w:rFonts w:ascii="Calibri" w:hAnsi="Calibri" w:cs="Arial"/>
                <w:sz w:val="22"/>
                <w:szCs w:val="22"/>
              </w:rPr>
            </w:pPr>
            <w:r w:rsidRPr="0007303B">
              <w:rPr>
                <w:rFonts w:ascii="Calibri" w:hAnsi="Calibri" w:cs="Arial"/>
                <w:sz w:val="22"/>
                <w:szCs w:val="22"/>
              </w:rPr>
              <w:t xml:space="preserve">2) Od poplatku se osvobozuje osoba, které poplatková povinnost vznikla z důvodu přihlášení v obci a která: </w:t>
            </w:r>
          </w:p>
          <w:p w:rsidR="0007303B" w:rsidRPr="0007303B" w:rsidRDefault="0007303B" w:rsidP="006D3F09">
            <w:pPr>
              <w:rPr>
                <w:rFonts w:ascii="Calibri" w:hAnsi="Calibri" w:cs="Arial"/>
                <w:sz w:val="22"/>
                <w:szCs w:val="22"/>
              </w:rPr>
            </w:pPr>
            <w:r w:rsidRPr="0007303B">
              <w:rPr>
                <w:rFonts w:ascii="Calibri" w:hAnsi="Calibri" w:cs="Arial"/>
                <w:sz w:val="22"/>
                <w:szCs w:val="22"/>
              </w:rPr>
              <w:t xml:space="preserve">a) má místo pobytu v sídle ohlašovny městského úřadu, pokud se celoročně zdržuje mimo území města             </w:t>
            </w:r>
          </w:p>
          <w:p w:rsidR="0007303B" w:rsidRPr="0007303B" w:rsidRDefault="0007303B" w:rsidP="006D3F09">
            <w:pPr>
              <w:ind w:left="567" w:hanging="567"/>
              <w:rPr>
                <w:rFonts w:ascii="Calibri" w:hAnsi="Calibri" w:cs="Arial"/>
                <w:sz w:val="22"/>
                <w:szCs w:val="22"/>
              </w:rPr>
            </w:pPr>
            <w:r w:rsidRPr="0007303B">
              <w:rPr>
                <w:rFonts w:ascii="Calibri" w:hAnsi="Calibri" w:cs="Arial"/>
                <w:sz w:val="22"/>
                <w:szCs w:val="22"/>
              </w:rPr>
              <w:t xml:space="preserve">b) se narodila v příslušném kalendářním roce                                                                                                                  </w:t>
            </w:r>
          </w:p>
          <w:p w:rsidR="0007303B" w:rsidRPr="0007303B" w:rsidRDefault="0007303B" w:rsidP="006D3F09">
            <w:pPr>
              <w:ind w:left="567" w:hanging="567"/>
              <w:rPr>
                <w:rFonts w:ascii="Calibri" w:hAnsi="Calibri" w:cs="Arial"/>
                <w:sz w:val="22"/>
                <w:szCs w:val="22"/>
              </w:rPr>
            </w:pPr>
            <w:r w:rsidRPr="0007303B">
              <w:rPr>
                <w:rFonts w:ascii="Calibri" w:hAnsi="Calibri" w:cs="Arial"/>
                <w:sz w:val="22"/>
                <w:szCs w:val="22"/>
              </w:rPr>
              <w:t>c) celoročně pobývá v zahraničí</w:t>
            </w:r>
          </w:p>
        </w:tc>
      </w:tr>
      <w:tr w:rsidR="0007303B" w:rsidRPr="00E36EDD" w:rsidTr="006D3F09">
        <w:tc>
          <w:tcPr>
            <w:tcW w:w="9186" w:type="dxa"/>
            <w:shd w:val="clear" w:color="auto" w:fill="D9D9D9"/>
            <w:vAlign w:val="center"/>
          </w:tcPr>
          <w:p w:rsidR="0007303B" w:rsidRPr="00E36EDD" w:rsidRDefault="0007303B" w:rsidP="006D3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07303B" w:rsidRPr="00E36EDD" w:rsidTr="006D3F09">
        <w:tc>
          <w:tcPr>
            <w:tcW w:w="9186" w:type="dxa"/>
          </w:tcPr>
          <w:p w:rsidR="0007303B" w:rsidRPr="00E36EDD" w:rsidRDefault="0007303B" w:rsidP="006D3F09">
            <w:pPr>
              <w:rPr>
                <w:rFonts w:ascii="Calibri" w:hAnsi="Calibri"/>
                <w:sz w:val="22"/>
                <w:szCs w:val="22"/>
              </w:rPr>
            </w:pPr>
            <w:r w:rsidRPr="00E36EDD">
              <w:rPr>
                <w:rFonts w:ascii="Calibri" w:hAnsi="Calibri" w:cs="Arial"/>
                <w:noProof/>
                <w:sz w:val="22"/>
                <w:szCs w:val="22"/>
              </w:rPr>
              <w:t>MěÚ Touž</w:t>
            </w:r>
            <w:r w:rsidR="000D0D36">
              <w:rPr>
                <w:rFonts w:ascii="Calibri" w:hAnsi="Calibri" w:cs="Arial"/>
                <w:noProof/>
                <w:sz w:val="22"/>
                <w:szCs w:val="22"/>
              </w:rPr>
              <w:t>im, oddělení životního prostředí</w:t>
            </w:r>
          </w:p>
        </w:tc>
      </w:tr>
      <w:tr w:rsidR="0007303B" w:rsidRPr="00E36EDD" w:rsidTr="006D3F09">
        <w:tc>
          <w:tcPr>
            <w:tcW w:w="9186" w:type="dxa"/>
            <w:shd w:val="clear" w:color="auto" w:fill="D9D9D9"/>
            <w:vAlign w:val="center"/>
          </w:tcPr>
          <w:p w:rsidR="0007303B" w:rsidRPr="00E36EDD" w:rsidRDefault="0007303B" w:rsidP="006D3F0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36EDD">
              <w:rPr>
                <w:rFonts w:ascii="Calibri" w:hAnsi="Calibri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07303B" w:rsidRPr="00E36EDD" w:rsidTr="006D3F09">
        <w:tc>
          <w:tcPr>
            <w:tcW w:w="9186" w:type="dxa"/>
          </w:tcPr>
          <w:p w:rsidR="0007303B" w:rsidRPr="00E36EDD" w:rsidRDefault="001A2747" w:rsidP="006D3F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24</w:t>
            </w:r>
            <w:r w:rsidR="0007303B" w:rsidRPr="00E36EDD">
              <w:rPr>
                <w:rFonts w:ascii="Calibri" w:hAnsi="Calibri" w:cs="Arial"/>
                <w:noProof/>
                <w:sz w:val="22"/>
                <w:szCs w:val="22"/>
              </w:rPr>
              <w:t>.11.2021</w:t>
            </w:r>
          </w:p>
        </w:tc>
      </w:tr>
    </w:tbl>
    <w:p w:rsidR="0007303B" w:rsidRPr="00E36EDD" w:rsidRDefault="0007303B" w:rsidP="007C5ABD">
      <w:pPr>
        <w:rPr>
          <w:rFonts w:ascii="Calibri" w:hAnsi="Calibri"/>
        </w:rPr>
      </w:pPr>
    </w:p>
    <w:sectPr w:rsidR="0007303B" w:rsidRPr="00E36EDD" w:rsidSect="002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1B" w:rsidRDefault="006D141B" w:rsidP="009B3A6C">
      <w:r>
        <w:separator/>
      </w:r>
    </w:p>
  </w:endnote>
  <w:endnote w:type="continuationSeparator" w:id="0">
    <w:p w:rsidR="006D141B" w:rsidRDefault="006D141B" w:rsidP="009B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1B" w:rsidRDefault="006D141B" w:rsidP="009B3A6C">
      <w:r>
        <w:separator/>
      </w:r>
    </w:p>
  </w:footnote>
  <w:footnote w:type="continuationSeparator" w:id="0">
    <w:p w:rsidR="006D141B" w:rsidRDefault="006D141B" w:rsidP="009B3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5CF"/>
    <w:multiLevelType w:val="hybridMultilevel"/>
    <w:tmpl w:val="1236E488"/>
    <w:lvl w:ilvl="0" w:tplc="52CE3C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815B0"/>
    <w:multiLevelType w:val="hybridMultilevel"/>
    <w:tmpl w:val="57EA1870"/>
    <w:lvl w:ilvl="0" w:tplc="7A8EF6D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33AA8"/>
    <w:multiLevelType w:val="hybridMultilevel"/>
    <w:tmpl w:val="2BAA99EA"/>
    <w:lvl w:ilvl="0" w:tplc="2438C9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6C5B"/>
    <w:multiLevelType w:val="hybridMultilevel"/>
    <w:tmpl w:val="DAA0C372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65293F"/>
    <w:multiLevelType w:val="multilevel"/>
    <w:tmpl w:val="685CF66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35024"/>
    <w:multiLevelType w:val="hybridMultilevel"/>
    <w:tmpl w:val="5F9C445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F27D56"/>
    <w:multiLevelType w:val="hybridMultilevel"/>
    <w:tmpl w:val="5BF2AC46"/>
    <w:lvl w:ilvl="0" w:tplc="6668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B0E3F"/>
    <w:multiLevelType w:val="hybridMultilevel"/>
    <w:tmpl w:val="C20CF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398"/>
    <w:rsid w:val="00006382"/>
    <w:rsid w:val="00014558"/>
    <w:rsid w:val="000556FB"/>
    <w:rsid w:val="00064EEF"/>
    <w:rsid w:val="0007303B"/>
    <w:rsid w:val="000779AD"/>
    <w:rsid w:val="000C2B93"/>
    <w:rsid w:val="000D0D36"/>
    <w:rsid w:val="000D7AE1"/>
    <w:rsid w:val="000F1FAB"/>
    <w:rsid w:val="00123C23"/>
    <w:rsid w:val="00127E2F"/>
    <w:rsid w:val="001370EB"/>
    <w:rsid w:val="00143D73"/>
    <w:rsid w:val="001A03FE"/>
    <w:rsid w:val="001A2747"/>
    <w:rsid w:val="001A648B"/>
    <w:rsid w:val="001B6985"/>
    <w:rsid w:val="001B7076"/>
    <w:rsid w:val="001B7E25"/>
    <w:rsid w:val="001C6FDD"/>
    <w:rsid w:val="001D0962"/>
    <w:rsid w:val="001D4C1C"/>
    <w:rsid w:val="001E0141"/>
    <w:rsid w:val="002107AD"/>
    <w:rsid w:val="00214870"/>
    <w:rsid w:val="002157C6"/>
    <w:rsid w:val="00216CCE"/>
    <w:rsid w:val="00220A16"/>
    <w:rsid w:val="00237F5E"/>
    <w:rsid w:val="002604F7"/>
    <w:rsid w:val="00261F32"/>
    <w:rsid w:val="00273193"/>
    <w:rsid w:val="00280DAA"/>
    <w:rsid w:val="00304C8B"/>
    <w:rsid w:val="00321052"/>
    <w:rsid w:val="00367B74"/>
    <w:rsid w:val="003D1DC9"/>
    <w:rsid w:val="003E2398"/>
    <w:rsid w:val="00424FB4"/>
    <w:rsid w:val="00473E3B"/>
    <w:rsid w:val="00487EB5"/>
    <w:rsid w:val="004C52C7"/>
    <w:rsid w:val="0050599C"/>
    <w:rsid w:val="0052688D"/>
    <w:rsid w:val="0053128B"/>
    <w:rsid w:val="00535055"/>
    <w:rsid w:val="00564110"/>
    <w:rsid w:val="00592A58"/>
    <w:rsid w:val="005B2469"/>
    <w:rsid w:val="005F0359"/>
    <w:rsid w:val="0061065F"/>
    <w:rsid w:val="00616A42"/>
    <w:rsid w:val="00625E44"/>
    <w:rsid w:val="006474EB"/>
    <w:rsid w:val="00666389"/>
    <w:rsid w:val="00684FDB"/>
    <w:rsid w:val="0069078C"/>
    <w:rsid w:val="006C5697"/>
    <w:rsid w:val="006D09DA"/>
    <w:rsid w:val="006D141B"/>
    <w:rsid w:val="006D3F09"/>
    <w:rsid w:val="006D75D1"/>
    <w:rsid w:val="006E2435"/>
    <w:rsid w:val="006E6AD6"/>
    <w:rsid w:val="006F4324"/>
    <w:rsid w:val="00714E5B"/>
    <w:rsid w:val="007A5889"/>
    <w:rsid w:val="007B3847"/>
    <w:rsid w:val="007C5ABD"/>
    <w:rsid w:val="007F4C68"/>
    <w:rsid w:val="00826081"/>
    <w:rsid w:val="00881ECB"/>
    <w:rsid w:val="0089441A"/>
    <w:rsid w:val="008A33B6"/>
    <w:rsid w:val="008B16BB"/>
    <w:rsid w:val="008E18F9"/>
    <w:rsid w:val="008E5542"/>
    <w:rsid w:val="0090185A"/>
    <w:rsid w:val="00915E06"/>
    <w:rsid w:val="00974A54"/>
    <w:rsid w:val="00977BAC"/>
    <w:rsid w:val="009874DE"/>
    <w:rsid w:val="009B08F5"/>
    <w:rsid w:val="009B3A6C"/>
    <w:rsid w:val="009F26F5"/>
    <w:rsid w:val="009F3FA8"/>
    <w:rsid w:val="00A2540F"/>
    <w:rsid w:val="00A56C08"/>
    <w:rsid w:val="00A63B52"/>
    <w:rsid w:val="00A9099D"/>
    <w:rsid w:val="00AC3341"/>
    <w:rsid w:val="00AD02F4"/>
    <w:rsid w:val="00AD6920"/>
    <w:rsid w:val="00B534AA"/>
    <w:rsid w:val="00BB182A"/>
    <w:rsid w:val="00C01827"/>
    <w:rsid w:val="00C4452D"/>
    <w:rsid w:val="00CC743B"/>
    <w:rsid w:val="00CD36F9"/>
    <w:rsid w:val="00D00396"/>
    <w:rsid w:val="00D47AA0"/>
    <w:rsid w:val="00D63900"/>
    <w:rsid w:val="00D86B57"/>
    <w:rsid w:val="00DA5A16"/>
    <w:rsid w:val="00DC4BA3"/>
    <w:rsid w:val="00DD6506"/>
    <w:rsid w:val="00DE2167"/>
    <w:rsid w:val="00E10E6D"/>
    <w:rsid w:val="00E10F94"/>
    <w:rsid w:val="00E20120"/>
    <w:rsid w:val="00E36507"/>
    <w:rsid w:val="00E36EDD"/>
    <w:rsid w:val="00E831BE"/>
    <w:rsid w:val="00EA2ADB"/>
    <w:rsid w:val="00EB7D8D"/>
    <w:rsid w:val="00EC5A04"/>
    <w:rsid w:val="00F5176D"/>
    <w:rsid w:val="00F54CD5"/>
    <w:rsid w:val="00F60B17"/>
    <w:rsid w:val="00FB46A2"/>
    <w:rsid w:val="00FD2259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5068-63D3-492E-9FF3-EB0871BB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B5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DE2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21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E2167"/>
    <w:rPr>
      <w:b/>
      <w:bCs/>
    </w:rPr>
  </w:style>
  <w:style w:type="paragraph" w:styleId="Textbubliny">
    <w:name w:val="Balloon Text"/>
    <w:basedOn w:val="Normln"/>
    <w:semiHidden/>
    <w:rsid w:val="00DE216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3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nakapoznpodarou">
    <w:name w:val="footnote reference"/>
    <w:rsid w:val="009B3A6C"/>
    <w:rPr>
      <w:vertAlign w:val="superscript"/>
    </w:rPr>
  </w:style>
  <w:style w:type="paragraph" w:styleId="Textpoznpodarou">
    <w:name w:val="footnote text"/>
    <w:basedOn w:val="Normln"/>
    <w:link w:val="TextpoznpodarouChar"/>
    <w:unhideWhenUsed/>
    <w:rsid w:val="009B3A6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link w:val="Textpoznpodarou"/>
    <w:rsid w:val="009B3A6C"/>
    <w:rPr>
      <w:rFonts w:ascii="Calibri" w:eastAsia="Calibri" w:hAnsi="Calibri"/>
      <w:lang w:eastAsia="en-US"/>
    </w:rPr>
  </w:style>
  <w:style w:type="paragraph" w:customStyle="1" w:styleId="Default">
    <w:name w:val="Default"/>
    <w:rsid w:val="006474E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TextkomenteChar">
    <w:name w:val="Text komentáře Char"/>
    <w:link w:val="Textkomente"/>
    <w:uiPriority w:val="99"/>
    <w:rsid w:val="006474EB"/>
  </w:style>
  <w:style w:type="character" w:styleId="Hypertextovodkaz">
    <w:name w:val="Hyperlink"/>
    <w:rsid w:val="00A90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zim.cz/mestsky-urad-1/legislativa/?ftresult_menu=legislati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10A5-895F-4CC6-BAD5-41BDE582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6514</CharactersWithSpaces>
  <SharedDoc>false</SharedDoc>
  <HLinks>
    <vt:vector size="6" baseType="variant">
      <vt:variant>
        <vt:i4>7208967</vt:i4>
      </vt:variant>
      <vt:variant>
        <vt:i4>0</vt:i4>
      </vt:variant>
      <vt:variant>
        <vt:i4>0</vt:i4>
      </vt:variant>
      <vt:variant>
        <vt:i4>5</vt:i4>
      </vt:variant>
      <vt:variant>
        <vt:lpwstr>https://www.touzim.cz/mestsky-urad-1/legislativa/?ftresult_menu=legislativa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Josef Zankl</cp:lastModifiedBy>
  <cp:revision>3</cp:revision>
  <cp:lastPrinted>2008-07-08T12:46:00Z</cp:lastPrinted>
  <dcterms:created xsi:type="dcterms:W3CDTF">2021-11-29T07:19:00Z</dcterms:created>
  <dcterms:modified xsi:type="dcterms:W3CDTF">2021-12-10T06:41:00Z</dcterms:modified>
</cp:coreProperties>
</file>